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Playfair Display" w:cs="Playfair Display" w:eastAsia="Playfair Display" w:hAnsi="Playfair Display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114300</wp:posOffset>
            </wp:positionV>
            <wp:extent cx="6219212" cy="8792680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19212" cy="87926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fair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fairDisplay-regular.ttf"/><Relationship Id="rId2" Type="http://schemas.openxmlformats.org/officeDocument/2006/relationships/font" Target="fonts/PlayfairDisplay-bold.ttf"/><Relationship Id="rId3" Type="http://schemas.openxmlformats.org/officeDocument/2006/relationships/font" Target="fonts/PlayfairDisplay-italic.ttf"/><Relationship Id="rId4" Type="http://schemas.openxmlformats.org/officeDocument/2006/relationships/font" Target="fonts/PlayfairDisplay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Xi7a4EQ48Fqgc1AWxwD4uX5VGA==">CgMxLjA4AHIhMTRaSUZDY2kwcEM1c3lEaVBiaV9WZDZmU05GTENnNXpL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